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B0DF" w14:textId="281F5F2F" w:rsidR="00F21575" w:rsidRPr="000B12E9" w:rsidRDefault="00A05777" w:rsidP="00A05777">
      <w:pPr>
        <w:spacing w:after="0"/>
        <w:rPr>
          <w:rFonts w:eastAsia="Wawati SC Regular"/>
        </w:rPr>
      </w:pPr>
      <w:r>
        <w:rPr>
          <w:rFonts w:eastAsia="Wawati SC Regular"/>
        </w:rPr>
        <w:t xml:space="preserve">Windsor Forest </w:t>
      </w:r>
      <w:r w:rsidR="00F21575" w:rsidRPr="000B12E9">
        <w:rPr>
          <w:rFonts w:eastAsia="Wawati SC Regular"/>
        </w:rPr>
        <w:t>Bapti</w:t>
      </w:r>
      <w:r>
        <w:rPr>
          <w:rFonts w:eastAsia="Wawati SC Regular"/>
        </w:rPr>
        <w:t>st Church   Savannah</w:t>
      </w:r>
      <w:r w:rsidR="00301EE8">
        <w:rPr>
          <w:rFonts w:eastAsia="Wawati SC Regular"/>
        </w:rPr>
        <w:t xml:space="preserve">, GA    </w:t>
      </w:r>
      <w:r w:rsidR="0061667C">
        <w:rPr>
          <w:rFonts w:eastAsia="Wawati SC Regular"/>
        </w:rPr>
        <w:t>5</w:t>
      </w:r>
      <w:r>
        <w:rPr>
          <w:rFonts w:eastAsia="Wawati SC Regular"/>
        </w:rPr>
        <w:t>-</w:t>
      </w:r>
      <w:r w:rsidR="000C17A1">
        <w:rPr>
          <w:rFonts w:eastAsia="Wawati SC Regular"/>
        </w:rPr>
        <w:t>6</w:t>
      </w:r>
      <w:r w:rsidR="00301EE8">
        <w:rPr>
          <w:rFonts w:eastAsia="Wawati SC Regular"/>
        </w:rPr>
        <w:t>-</w:t>
      </w:r>
      <w:r>
        <w:rPr>
          <w:rFonts w:eastAsia="Wawati SC Regular"/>
        </w:rPr>
        <w:t>18</w:t>
      </w:r>
      <w:r w:rsidR="000C17A1">
        <w:rPr>
          <w:rFonts w:eastAsia="Wawati SC Regular"/>
        </w:rPr>
        <w:t xml:space="preserve"> Sunday AM</w:t>
      </w:r>
    </w:p>
    <w:p w14:paraId="700C0EF6" w14:textId="77777777" w:rsidR="00F21575" w:rsidRDefault="00F21575" w:rsidP="00F21575">
      <w:pPr>
        <w:spacing w:after="0"/>
      </w:pPr>
    </w:p>
    <w:p w14:paraId="19A6E7F5" w14:textId="3EB45B4D" w:rsidR="00F21575" w:rsidRPr="00A05777" w:rsidRDefault="000C17A1" w:rsidP="00F21575">
      <w:pPr>
        <w:spacing w:after="0"/>
        <w:jc w:val="center"/>
        <w:rPr>
          <w:rFonts w:cstheme="minorHAnsi"/>
          <w:sz w:val="32"/>
          <w:szCs w:val="24"/>
          <w:u w:val="single"/>
        </w:rPr>
      </w:pPr>
      <w:r>
        <w:rPr>
          <w:rFonts w:cstheme="minorHAnsi"/>
          <w:sz w:val="32"/>
          <w:szCs w:val="24"/>
          <w:u w:val="single"/>
        </w:rPr>
        <w:t>The Doctrine of the Trinity</w:t>
      </w:r>
    </w:p>
    <w:p w14:paraId="556EBA11" w14:textId="540733F8" w:rsidR="00F63DB0" w:rsidRDefault="00F63DB0" w:rsidP="00156991">
      <w:pPr>
        <w:spacing w:line="360" w:lineRule="auto"/>
        <w:rPr>
          <w:rFonts w:eastAsia="Wawati TC Regular" w:cstheme="minorHAnsi"/>
          <w:sz w:val="24"/>
          <w:szCs w:val="24"/>
        </w:rPr>
      </w:pPr>
    </w:p>
    <w:p w14:paraId="614F6784" w14:textId="3E544EE5" w:rsidR="000C17A1" w:rsidRPr="00BF7205" w:rsidRDefault="000C17A1" w:rsidP="000C17A1">
      <w:pPr>
        <w:spacing w:after="0" w:line="240" w:lineRule="auto"/>
        <w:rPr>
          <w:rFonts w:eastAsia="Wawati TC Regular" w:cstheme="minorHAnsi"/>
          <w:szCs w:val="24"/>
        </w:rPr>
      </w:pPr>
      <w:r>
        <w:rPr>
          <w:rFonts w:eastAsia="Wawati TC Regular" w:cstheme="minorHAnsi"/>
          <w:sz w:val="24"/>
          <w:szCs w:val="24"/>
        </w:rPr>
        <w:t>1</w:t>
      </w:r>
      <w:r w:rsidRPr="00BF7205">
        <w:rPr>
          <w:rFonts w:eastAsia="Wawati TC Regular" w:cstheme="minorHAnsi"/>
          <w:szCs w:val="24"/>
        </w:rPr>
        <w:t xml:space="preserve">.    </w:t>
      </w:r>
      <w:r w:rsidRPr="00BF7205">
        <w:rPr>
          <w:rFonts w:eastAsia="Wawati TC Regular" w:cstheme="minorHAnsi"/>
          <w:szCs w:val="24"/>
          <w:u w:val="single"/>
        </w:rPr>
        <w:t>The Word Itself</w:t>
      </w:r>
    </w:p>
    <w:p w14:paraId="6B68E2D5" w14:textId="416655A0" w:rsidR="000C17A1" w:rsidRPr="00BF7205" w:rsidRDefault="000C17A1" w:rsidP="000C17A1">
      <w:pPr>
        <w:pStyle w:val="ListParagraph"/>
        <w:numPr>
          <w:ilvl w:val="0"/>
          <w:numId w:val="8"/>
        </w:numPr>
        <w:spacing w:after="0" w:line="240" w:lineRule="auto"/>
        <w:ind w:left="810"/>
        <w:rPr>
          <w:rFonts w:eastAsia="Wawati TC Regular" w:cstheme="minorHAnsi"/>
          <w:szCs w:val="24"/>
        </w:rPr>
      </w:pPr>
      <w:r w:rsidRPr="00BF7205">
        <w:rPr>
          <w:rFonts w:eastAsia="Wawati TC Regular" w:cstheme="minorHAnsi"/>
          <w:szCs w:val="24"/>
        </w:rPr>
        <w:t>The word “Trinity” does not appear in the Bible.</w:t>
      </w:r>
    </w:p>
    <w:p w14:paraId="0DEFA6F5" w14:textId="20F6DC23" w:rsidR="000C17A1" w:rsidRPr="00BF7205" w:rsidRDefault="000C17A1" w:rsidP="000C17A1">
      <w:pPr>
        <w:pStyle w:val="ListParagraph"/>
        <w:numPr>
          <w:ilvl w:val="0"/>
          <w:numId w:val="8"/>
        </w:numPr>
        <w:spacing w:after="0" w:line="240" w:lineRule="auto"/>
        <w:ind w:left="810"/>
        <w:rPr>
          <w:rFonts w:eastAsia="Wawati TC Regular" w:cstheme="minorHAnsi"/>
          <w:szCs w:val="24"/>
        </w:rPr>
      </w:pPr>
      <w:r w:rsidRPr="00BF7205">
        <w:rPr>
          <w:rFonts w:eastAsia="Wawati TC Regular" w:cstheme="minorHAnsi"/>
          <w:szCs w:val="24"/>
        </w:rPr>
        <w:t>It comes from a Latin word, which means “threefold”.</w:t>
      </w:r>
    </w:p>
    <w:p w14:paraId="3967EEFA" w14:textId="591F8D80" w:rsidR="000C17A1" w:rsidRPr="00F67170" w:rsidRDefault="000C17A1" w:rsidP="000C17A1">
      <w:pPr>
        <w:spacing w:after="0" w:line="240" w:lineRule="auto"/>
        <w:rPr>
          <w:rFonts w:eastAsia="Wawati TC Regular" w:cstheme="minorHAnsi"/>
          <w:sz w:val="10"/>
          <w:szCs w:val="24"/>
        </w:rPr>
      </w:pPr>
    </w:p>
    <w:p w14:paraId="2A843F18" w14:textId="48D31773" w:rsidR="000C17A1" w:rsidRPr="00BF7205" w:rsidRDefault="000C17A1" w:rsidP="00E904DE">
      <w:pPr>
        <w:spacing w:after="0" w:line="360" w:lineRule="auto"/>
        <w:rPr>
          <w:rFonts w:eastAsia="Wawati TC Regular" w:cstheme="minorHAnsi"/>
          <w:szCs w:val="24"/>
          <w:u w:val="single"/>
        </w:rPr>
      </w:pPr>
      <w:r w:rsidRPr="00BF7205">
        <w:rPr>
          <w:rFonts w:eastAsia="Wawati TC Regular" w:cstheme="minorHAnsi"/>
          <w:szCs w:val="24"/>
        </w:rPr>
        <w:t xml:space="preserve">2.    </w:t>
      </w:r>
      <w:r w:rsidR="005E4236">
        <w:rPr>
          <w:rFonts w:eastAsia="Wawati TC Regular" w:cstheme="minorHAnsi"/>
          <w:szCs w:val="24"/>
          <w:u w:val="single"/>
        </w:rPr>
        <w:t xml:space="preserve">Examples of the Trinity </w:t>
      </w:r>
    </w:p>
    <w:p w14:paraId="49BC30C5" w14:textId="6AD983BC" w:rsidR="0052294E" w:rsidRPr="0052294E" w:rsidRDefault="000C17A1" w:rsidP="0052294E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810"/>
        <w:rPr>
          <w:rFonts w:eastAsia="Wawati TC Regular" w:cstheme="minorHAnsi"/>
          <w:szCs w:val="24"/>
          <w:u w:val="single"/>
        </w:rPr>
      </w:pPr>
      <w:r w:rsidRPr="00BF7205">
        <w:rPr>
          <w:rFonts w:eastAsia="Wawati TC Regular" w:cstheme="minorHAnsi"/>
          <w:szCs w:val="24"/>
        </w:rPr>
        <w:t xml:space="preserve">In </w:t>
      </w:r>
      <w:r w:rsidR="009716AC">
        <w:rPr>
          <w:rFonts w:eastAsia="Wawati TC Regular" w:cstheme="minorHAnsi"/>
          <w:b/>
          <w:color w:val="0000FF"/>
          <w:szCs w:val="24"/>
        </w:rPr>
        <w:t>Creation</w:t>
      </w:r>
      <w:r w:rsidR="00BF7205" w:rsidRPr="00BF7205">
        <w:rPr>
          <w:rFonts w:eastAsia="Wawati TC Regular" w:cstheme="minorHAnsi"/>
          <w:szCs w:val="24"/>
        </w:rPr>
        <w:t>...Gen.</w:t>
      </w:r>
      <w:r w:rsidR="009716AC">
        <w:rPr>
          <w:rFonts w:eastAsia="Wawati TC Regular" w:cstheme="minorHAnsi"/>
          <w:szCs w:val="24"/>
        </w:rPr>
        <w:t xml:space="preserve"> 1:1, 2</w:t>
      </w:r>
    </w:p>
    <w:p w14:paraId="0BAAFC5D" w14:textId="5EB0D907" w:rsidR="000C17A1" w:rsidRPr="00BF7205" w:rsidRDefault="009716AC" w:rsidP="0052294E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810"/>
        <w:rPr>
          <w:rFonts w:eastAsia="Wawati TC Regular" w:cstheme="minorHAnsi"/>
          <w:szCs w:val="24"/>
          <w:u w:val="single"/>
        </w:rPr>
      </w:pPr>
      <w:r>
        <w:rPr>
          <w:rFonts w:eastAsia="Wawati TC Regular" w:cstheme="minorHAnsi"/>
          <w:szCs w:val="24"/>
        </w:rPr>
        <w:t xml:space="preserve">In Jesus’ </w:t>
      </w:r>
      <w:r w:rsidRPr="009716AC">
        <w:rPr>
          <w:rFonts w:eastAsia="Wawati TC Regular" w:cstheme="minorHAnsi"/>
          <w:b/>
          <w:color w:val="0000FF"/>
          <w:szCs w:val="24"/>
        </w:rPr>
        <w:t>Baptism</w:t>
      </w:r>
      <w:r w:rsidR="000C17A1" w:rsidRPr="00BF7205">
        <w:rPr>
          <w:rFonts w:eastAsia="Wawati TC Regular" w:cstheme="minorHAnsi"/>
          <w:szCs w:val="24"/>
        </w:rPr>
        <w:t>...Matthew 3:13-17</w:t>
      </w:r>
    </w:p>
    <w:p w14:paraId="07D791CD" w14:textId="55CE5834" w:rsidR="000C17A1" w:rsidRPr="00BF7205" w:rsidRDefault="009716AC" w:rsidP="0052294E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810"/>
        <w:rPr>
          <w:rFonts w:eastAsia="Wawati TC Regular" w:cstheme="minorHAnsi"/>
          <w:szCs w:val="24"/>
          <w:u w:val="single"/>
        </w:rPr>
      </w:pPr>
      <w:r>
        <w:rPr>
          <w:rFonts w:eastAsia="Wawati TC Regular" w:cstheme="minorHAnsi"/>
          <w:szCs w:val="24"/>
        </w:rPr>
        <w:t xml:space="preserve">In Jesus’ </w:t>
      </w:r>
      <w:r w:rsidRPr="009716AC">
        <w:rPr>
          <w:rFonts w:eastAsia="Wawati TC Regular" w:cstheme="minorHAnsi"/>
          <w:b/>
          <w:color w:val="0000FF"/>
          <w:szCs w:val="24"/>
        </w:rPr>
        <w:t>Temptation</w:t>
      </w:r>
      <w:r w:rsidR="000C17A1" w:rsidRPr="00BF7205">
        <w:rPr>
          <w:rFonts w:eastAsia="Wawati TC Regular" w:cstheme="minorHAnsi"/>
          <w:szCs w:val="24"/>
        </w:rPr>
        <w:t>...Matthew 4:1-3</w:t>
      </w:r>
    </w:p>
    <w:p w14:paraId="1E54178F" w14:textId="453BA54D" w:rsidR="00BF7205" w:rsidRPr="005E4236" w:rsidRDefault="009716AC" w:rsidP="0052294E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810"/>
        <w:rPr>
          <w:rFonts w:eastAsia="Wawati TC Regular" w:cstheme="minorHAnsi"/>
          <w:szCs w:val="24"/>
          <w:u w:val="single"/>
        </w:rPr>
      </w:pPr>
      <w:r>
        <w:rPr>
          <w:rFonts w:eastAsia="Wawati TC Regular" w:cstheme="minorHAnsi"/>
          <w:szCs w:val="24"/>
        </w:rPr>
        <w:t xml:space="preserve">In the Great </w:t>
      </w:r>
      <w:r>
        <w:rPr>
          <w:rFonts w:eastAsia="Wawati TC Regular" w:cstheme="minorHAnsi"/>
          <w:b/>
          <w:color w:val="0000FF"/>
          <w:szCs w:val="24"/>
        </w:rPr>
        <w:t>Commission</w:t>
      </w:r>
      <w:r w:rsidR="00BF7205" w:rsidRPr="00BF7205">
        <w:rPr>
          <w:rFonts w:eastAsia="Wawati TC Regular" w:cstheme="minorHAnsi"/>
          <w:szCs w:val="24"/>
        </w:rPr>
        <w:t>...Matthew 28:19, 20</w:t>
      </w:r>
    </w:p>
    <w:p w14:paraId="541CDE55" w14:textId="2425BE9A" w:rsidR="005E4236" w:rsidRPr="00BF7205" w:rsidRDefault="009716AC" w:rsidP="0052294E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810"/>
        <w:rPr>
          <w:rFonts w:eastAsia="Wawati TC Regular" w:cstheme="minorHAnsi"/>
          <w:szCs w:val="24"/>
          <w:u w:val="single"/>
        </w:rPr>
      </w:pPr>
      <w:r>
        <w:rPr>
          <w:rFonts w:eastAsia="Wawati TC Regular" w:cstheme="minorHAnsi"/>
          <w:szCs w:val="24"/>
        </w:rPr>
        <w:t xml:space="preserve">In </w:t>
      </w:r>
      <w:r>
        <w:rPr>
          <w:rFonts w:eastAsia="Wawati TC Regular" w:cstheme="minorHAnsi"/>
          <w:b/>
          <w:color w:val="0000FF"/>
          <w:szCs w:val="24"/>
        </w:rPr>
        <w:t>Salvation</w:t>
      </w:r>
      <w:r w:rsidR="005E4236">
        <w:rPr>
          <w:rFonts w:eastAsia="Wawati TC Regular" w:cstheme="minorHAnsi"/>
          <w:szCs w:val="24"/>
        </w:rPr>
        <w:t>...Titus 3:4-7</w:t>
      </w:r>
    </w:p>
    <w:p w14:paraId="61CC95D8" w14:textId="3CF089AB" w:rsidR="00BF7205" w:rsidRPr="00E904DE" w:rsidRDefault="00BF7205" w:rsidP="0052294E">
      <w:pPr>
        <w:tabs>
          <w:tab w:val="left" w:pos="540"/>
        </w:tabs>
        <w:spacing w:after="0" w:line="240" w:lineRule="auto"/>
        <w:rPr>
          <w:rFonts w:eastAsia="Wawati TC Regular" w:cstheme="minorHAnsi"/>
          <w:sz w:val="2"/>
          <w:szCs w:val="24"/>
          <w:u w:val="single"/>
        </w:rPr>
      </w:pPr>
    </w:p>
    <w:p w14:paraId="72DE3C69" w14:textId="0309E2AA" w:rsidR="00BF7205" w:rsidRDefault="009716AC" w:rsidP="0052294E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ind w:left="810"/>
        <w:rPr>
          <w:rFonts w:eastAsia="Wawati TC Regular" w:cstheme="minorHAnsi"/>
          <w:szCs w:val="24"/>
        </w:rPr>
      </w:pPr>
      <w:r>
        <w:rPr>
          <w:rFonts w:eastAsia="Wawati TC Regular" w:cstheme="minorHAnsi"/>
          <w:szCs w:val="24"/>
        </w:rPr>
        <w:t xml:space="preserve">There are at least </w:t>
      </w:r>
      <w:r w:rsidRPr="009716AC">
        <w:rPr>
          <w:rFonts w:eastAsia="Wawati TC Regular" w:cstheme="minorHAnsi"/>
          <w:b/>
          <w:color w:val="0000FF"/>
          <w:szCs w:val="24"/>
        </w:rPr>
        <w:t>74</w:t>
      </w:r>
      <w:r w:rsidR="00BF7205" w:rsidRPr="00BF7205">
        <w:rPr>
          <w:rFonts w:eastAsia="Wawati TC Regular" w:cstheme="minorHAnsi"/>
          <w:szCs w:val="24"/>
        </w:rPr>
        <w:t xml:space="preserve"> occurrences in the N.T. </w:t>
      </w:r>
      <w:r w:rsidR="00BF7205">
        <w:rPr>
          <w:rFonts w:eastAsia="Wawati TC Regular" w:cstheme="minorHAnsi"/>
          <w:szCs w:val="24"/>
        </w:rPr>
        <w:t>where all three are mentioned in one verse, or one chapter/context.</w:t>
      </w:r>
    </w:p>
    <w:p w14:paraId="59FB315B" w14:textId="4E1F72D2" w:rsidR="00F67170" w:rsidRPr="00F67170" w:rsidRDefault="00F67170" w:rsidP="00F67170">
      <w:pPr>
        <w:tabs>
          <w:tab w:val="left" w:pos="540"/>
        </w:tabs>
        <w:spacing w:after="0" w:line="276" w:lineRule="auto"/>
        <w:rPr>
          <w:rFonts w:eastAsia="Wawati TC Regular" w:cstheme="minorHAnsi"/>
          <w:sz w:val="10"/>
          <w:szCs w:val="24"/>
        </w:rPr>
      </w:pPr>
    </w:p>
    <w:p w14:paraId="525D5460" w14:textId="16F6EC12" w:rsidR="00BF7205" w:rsidRPr="00BF7205" w:rsidRDefault="00BF7205" w:rsidP="00E904DE">
      <w:pPr>
        <w:tabs>
          <w:tab w:val="left" w:pos="540"/>
        </w:tabs>
        <w:spacing w:after="0" w:line="360" w:lineRule="auto"/>
        <w:rPr>
          <w:rFonts w:eastAsia="Wawati TC Regular" w:cstheme="minorHAnsi"/>
          <w:u w:val="single"/>
        </w:rPr>
      </w:pPr>
      <w:r>
        <w:rPr>
          <w:rFonts w:eastAsia="Wawati TC Regular" w:cstheme="minorHAnsi"/>
          <w:szCs w:val="24"/>
        </w:rPr>
        <w:t xml:space="preserve">3.     </w:t>
      </w:r>
      <w:r>
        <w:rPr>
          <w:rFonts w:eastAsia="Wawati TC Regular" w:cstheme="minorHAnsi"/>
          <w:szCs w:val="24"/>
          <w:u w:val="single"/>
        </w:rPr>
        <w:t xml:space="preserve">The Best Way I </w:t>
      </w:r>
      <w:r w:rsidRPr="00BF7205">
        <w:rPr>
          <w:rFonts w:eastAsia="Wawati TC Regular" w:cstheme="minorHAnsi"/>
          <w:u w:val="single"/>
        </w:rPr>
        <w:t>Have Seen to Explain the Trinity</w:t>
      </w:r>
    </w:p>
    <w:p w14:paraId="6B54477A" w14:textId="3FD536EF" w:rsidR="00BF7205" w:rsidRPr="00C13982" w:rsidRDefault="009716AC" w:rsidP="00C13982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810"/>
        <w:rPr>
          <w:rFonts w:eastAsia="Wawati TC Regular"/>
        </w:rPr>
      </w:pPr>
      <w:r w:rsidRPr="00C13982">
        <w:rPr>
          <w:rFonts w:eastAsia="Wawati TC Regular" w:cstheme="minorHAnsi"/>
        </w:rPr>
        <w:t xml:space="preserve">There is </w:t>
      </w:r>
      <w:r w:rsidRPr="00C13982">
        <w:rPr>
          <w:rFonts w:eastAsia="Wawati TC Regular" w:cstheme="minorHAnsi"/>
          <w:b/>
          <w:color w:val="0000FF"/>
        </w:rPr>
        <w:t>One</w:t>
      </w:r>
      <w:r w:rsidR="005E4236" w:rsidRPr="00C13982">
        <w:rPr>
          <w:rFonts w:eastAsia="Wawati TC Regular" w:cstheme="minorHAnsi"/>
        </w:rPr>
        <w:t xml:space="preserve"> </w:t>
      </w:r>
      <w:r w:rsidR="008173FE" w:rsidRPr="00C13982">
        <w:rPr>
          <w:rFonts w:eastAsia="Wawati TC Regular" w:cstheme="minorHAnsi"/>
        </w:rPr>
        <w:t>God</w:t>
      </w:r>
      <w:r w:rsidR="00BF7205" w:rsidRPr="00C13982">
        <w:rPr>
          <w:rFonts w:eastAsia="Wawati TC Regular" w:cstheme="minorHAnsi"/>
        </w:rPr>
        <w:t>...Isaiah 43:10, 44:6, 8, 45:21, 22</w:t>
      </w:r>
    </w:p>
    <w:p w14:paraId="7165375C" w14:textId="343046D3" w:rsidR="00BF7205" w:rsidRPr="00C13982" w:rsidRDefault="00BF7205" w:rsidP="00C13982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810"/>
        <w:rPr>
          <w:rFonts w:ascii="Wawati TC Regular" w:eastAsia="Wawati TC Regular" w:hAnsi="Wawati TC Regular"/>
        </w:rPr>
      </w:pPr>
      <w:r>
        <w:rPr>
          <w:rFonts w:eastAsia="Wawati TC Regular" w:cstheme="minorHAnsi"/>
        </w:rPr>
        <w:t>G</w:t>
      </w:r>
      <w:r w:rsidR="009716AC">
        <w:rPr>
          <w:rFonts w:eastAsia="Wawati TC Regular" w:cstheme="minorHAnsi"/>
        </w:rPr>
        <w:t xml:space="preserve">od is </w:t>
      </w:r>
      <w:r w:rsidR="009716AC">
        <w:rPr>
          <w:rFonts w:eastAsia="Wawati TC Regular" w:cstheme="minorHAnsi"/>
          <w:b/>
          <w:color w:val="0000FF"/>
        </w:rPr>
        <w:t>Three</w:t>
      </w:r>
      <w:r w:rsidR="008173FE">
        <w:rPr>
          <w:rFonts w:eastAsia="Wawati TC Regular" w:cstheme="minorHAnsi"/>
        </w:rPr>
        <w:t xml:space="preserve"> Persons</w:t>
      </w:r>
      <w:r>
        <w:rPr>
          <w:rFonts w:eastAsia="Wawati TC Regular" w:cstheme="minorHAnsi"/>
        </w:rPr>
        <w:t>.</w:t>
      </w:r>
    </w:p>
    <w:p w14:paraId="46D3C923" w14:textId="7937A40D" w:rsidR="00BF7205" w:rsidRPr="0004646B" w:rsidRDefault="009716AC" w:rsidP="00F67170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810"/>
        <w:rPr>
          <w:rFonts w:eastAsia="Wawati TC Regular" w:cstheme="minorHAnsi"/>
        </w:rPr>
      </w:pPr>
      <w:r>
        <w:rPr>
          <w:rFonts w:eastAsia="Wawati TC Regular" w:cstheme="minorHAnsi"/>
        </w:rPr>
        <w:t xml:space="preserve">Each Person is </w:t>
      </w:r>
      <w:r>
        <w:rPr>
          <w:rFonts w:eastAsia="Wawati TC Regular" w:cstheme="minorHAnsi"/>
          <w:b/>
          <w:color w:val="0000FF"/>
        </w:rPr>
        <w:t>Fully</w:t>
      </w:r>
      <w:r w:rsidR="00BF7205">
        <w:rPr>
          <w:rFonts w:eastAsia="Wawati TC Regular" w:cstheme="minorHAnsi"/>
        </w:rPr>
        <w:t xml:space="preserve"> God.</w:t>
      </w:r>
      <w:r w:rsidR="00BF7205" w:rsidRPr="00BF7205">
        <w:rPr>
          <w:rFonts w:ascii="Wawati TC Regular" w:eastAsia="Wawati TC Regular" w:hAnsi="Wawati TC Regular"/>
        </w:rPr>
        <w:t xml:space="preserve">  </w:t>
      </w:r>
    </w:p>
    <w:p w14:paraId="24F52487" w14:textId="77777777" w:rsidR="00F67170" w:rsidRPr="0004646B" w:rsidRDefault="00F67170" w:rsidP="00F67170">
      <w:pPr>
        <w:tabs>
          <w:tab w:val="left" w:pos="540"/>
        </w:tabs>
        <w:spacing w:after="0" w:line="240" w:lineRule="auto"/>
        <w:rPr>
          <w:rFonts w:eastAsia="Wawati TC Regular" w:cstheme="minorHAnsi"/>
          <w:sz w:val="10"/>
        </w:rPr>
      </w:pPr>
    </w:p>
    <w:p w14:paraId="6B7A685C" w14:textId="48A979E3" w:rsidR="00BF7205" w:rsidRPr="0004646B" w:rsidRDefault="00BF7205" w:rsidP="00BF7205">
      <w:pPr>
        <w:tabs>
          <w:tab w:val="left" w:pos="540"/>
        </w:tabs>
        <w:spacing w:after="0" w:line="276" w:lineRule="auto"/>
        <w:rPr>
          <w:rFonts w:eastAsia="Wawati TC Regular" w:cstheme="minorHAnsi"/>
        </w:rPr>
      </w:pPr>
      <w:r w:rsidRPr="0004646B">
        <w:rPr>
          <w:rFonts w:eastAsia="Wawati TC Regular" w:cstheme="minorHAnsi"/>
        </w:rPr>
        <w:t xml:space="preserve">4.     </w:t>
      </w:r>
      <w:r w:rsidRPr="0004646B">
        <w:rPr>
          <w:rFonts w:eastAsia="Wawati TC Regular" w:cstheme="minorHAnsi"/>
          <w:u w:val="single"/>
        </w:rPr>
        <w:t>Closing Statements</w:t>
      </w:r>
    </w:p>
    <w:p w14:paraId="5BDFADEC" w14:textId="7BEE33C6" w:rsidR="00BF7205" w:rsidRPr="0004646B" w:rsidRDefault="00BF7205" w:rsidP="00F67170">
      <w:pPr>
        <w:pStyle w:val="ListParagraph"/>
        <w:numPr>
          <w:ilvl w:val="0"/>
          <w:numId w:val="11"/>
        </w:numPr>
        <w:spacing w:line="240" w:lineRule="auto"/>
        <w:ind w:left="810"/>
        <w:jc w:val="both"/>
        <w:rPr>
          <w:rFonts w:eastAsia="Wawati TC Regular" w:cstheme="minorHAnsi"/>
          <w:i/>
          <w:szCs w:val="24"/>
        </w:rPr>
      </w:pPr>
      <w:r w:rsidRPr="0004646B">
        <w:rPr>
          <w:rFonts w:eastAsia="Wawati TC Regular" w:cstheme="minorHAnsi"/>
          <w:i/>
          <w:szCs w:val="24"/>
        </w:rPr>
        <w:t>The Trinity is a Mystery.</w:t>
      </w:r>
      <w:r w:rsidR="00E904DE" w:rsidRPr="0004646B">
        <w:rPr>
          <w:rFonts w:eastAsia="Wawati TC Regular" w:cstheme="minorHAnsi"/>
          <w:i/>
          <w:szCs w:val="24"/>
        </w:rPr>
        <w:t xml:space="preserve"> </w:t>
      </w:r>
      <w:r w:rsidR="008173FE" w:rsidRPr="0004646B">
        <w:rPr>
          <w:rFonts w:eastAsia="Wawati TC Regular" w:cstheme="minorHAnsi"/>
          <w:i/>
          <w:szCs w:val="24"/>
        </w:rPr>
        <w:t xml:space="preserve"> I can live with that</w:t>
      </w:r>
      <w:r w:rsidR="004C5CB1" w:rsidRPr="0004646B">
        <w:rPr>
          <w:rFonts w:eastAsia="Wawati TC Regular" w:cstheme="minorHAnsi"/>
          <w:i/>
          <w:szCs w:val="24"/>
        </w:rPr>
        <w:t>.</w:t>
      </w:r>
    </w:p>
    <w:p w14:paraId="65F77E66" w14:textId="63CD3747" w:rsidR="004C5CB1" w:rsidRDefault="00F67170" w:rsidP="004C5CB1">
      <w:pPr>
        <w:pStyle w:val="ListParagraph"/>
        <w:numPr>
          <w:ilvl w:val="0"/>
          <w:numId w:val="11"/>
        </w:numPr>
        <w:spacing w:line="240" w:lineRule="auto"/>
        <w:ind w:left="810"/>
        <w:jc w:val="both"/>
        <w:rPr>
          <w:rFonts w:eastAsia="Wawati TC Regular" w:cstheme="minorHAnsi"/>
          <w:i/>
          <w:szCs w:val="24"/>
        </w:rPr>
      </w:pPr>
      <w:r w:rsidRPr="0004646B">
        <w:rPr>
          <w:rFonts w:eastAsia="Wawati TC Regular" w:cstheme="minorHAnsi"/>
          <w:i/>
          <w:szCs w:val="24"/>
        </w:rPr>
        <w:t>Throughout the history of the church</w:t>
      </w:r>
      <w:r w:rsidR="008173FE" w:rsidRPr="0004646B">
        <w:rPr>
          <w:rFonts w:eastAsia="Wawati TC Regular" w:cstheme="minorHAnsi"/>
          <w:i/>
          <w:szCs w:val="24"/>
        </w:rPr>
        <w:t>,</w:t>
      </w:r>
      <w:r w:rsidRPr="0004646B">
        <w:rPr>
          <w:rFonts w:eastAsia="Wawati TC Regular" w:cstheme="minorHAnsi"/>
          <w:i/>
          <w:szCs w:val="24"/>
        </w:rPr>
        <w:t xml:space="preserve"> there have been attempts to come up with a simple solution to the doctrine of the Trinity, but in doing so, it denies one or more</w:t>
      </w:r>
      <w:r w:rsidR="004C5CB1" w:rsidRPr="0004646B">
        <w:rPr>
          <w:rFonts w:eastAsia="Wawati TC Regular" w:cstheme="minorHAnsi"/>
          <w:i/>
          <w:szCs w:val="24"/>
        </w:rPr>
        <w:t xml:space="preserve"> of the</w:t>
      </w:r>
      <w:r w:rsidR="008173FE" w:rsidRPr="0004646B">
        <w:rPr>
          <w:rFonts w:eastAsia="Wawati TC Regular" w:cstheme="minorHAnsi"/>
          <w:i/>
          <w:szCs w:val="24"/>
        </w:rPr>
        <w:t>se</w:t>
      </w:r>
      <w:r w:rsidR="004C5CB1" w:rsidRPr="0004646B">
        <w:rPr>
          <w:rFonts w:eastAsia="Wawati TC Regular" w:cstheme="minorHAnsi"/>
          <w:i/>
          <w:szCs w:val="24"/>
        </w:rPr>
        <w:t xml:space="preserve"> fundamental truths: There is One God, Three Persons, Each Fully God. </w:t>
      </w:r>
    </w:p>
    <w:p w14:paraId="715728D5" w14:textId="4118CF17" w:rsidR="00F67170" w:rsidRPr="0004646B" w:rsidRDefault="004C5CB1" w:rsidP="004C5CB1">
      <w:pPr>
        <w:pStyle w:val="ListParagraph"/>
        <w:numPr>
          <w:ilvl w:val="0"/>
          <w:numId w:val="11"/>
        </w:numPr>
        <w:spacing w:line="240" w:lineRule="auto"/>
        <w:ind w:left="810"/>
        <w:jc w:val="both"/>
        <w:rPr>
          <w:rFonts w:eastAsia="Wawati TC Regular" w:cstheme="minorHAnsi"/>
          <w:i/>
          <w:szCs w:val="24"/>
        </w:rPr>
      </w:pPr>
      <w:bookmarkStart w:id="0" w:name="_GoBack"/>
      <w:bookmarkEnd w:id="0"/>
      <w:r w:rsidRPr="0004646B">
        <w:rPr>
          <w:rFonts w:eastAsia="Wawati TC Regular" w:cstheme="minorHAnsi"/>
          <w:i/>
          <w:szCs w:val="24"/>
        </w:rPr>
        <w:t>It is a kind of existence far different from anything we have experienced and far different from anything else in the universe.</w:t>
      </w:r>
    </w:p>
    <w:p w14:paraId="4045FDFD" w14:textId="189F8778" w:rsidR="00E904DE" w:rsidRPr="0004646B" w:rsidRDefault="00E904DE" w:rsidP="00F67170">
      <w:pPr>
        <w:pStyle w:val="ListParagraph"/>
        <w:numPr>
          <w:ilvl w:val="0"/>
          <w:numId w:val="11"/>
        </w:numPr>
        <w:spacing w:line="240" w:lineRule="auto"/>
        <w:ind w:left="810"/>
        <w:jc w:val="both"/>
        <w:rPr>
          <w:rFonts w:eastAsia="Wawati TC Regular" w:cstheme="minorHAnsi"/>
          <w:i/>
          <w:szCs w:val="24"/>
        </w:rPr>
      </w:pPr>
      <w:r w:rsidRPr="0004646B">
        <w:rPr>
          <w:rFonts w:eastAsia="Wawati TC Regular" w:cstheme="minorHAnsi"/>
          <w:i/>
          <w:szCs w:val="24"/>
        </w:rPr>
        <w:t>What we don’t understand with our minds, we must trust God with in our hearts.</w:t>
      </w:r>
    </w:p>
    <w:p w14:paraId="155D2071" w14:textId="77777777" w:rsidR="003E50D4" w:rsidRPr="00BF7205" w:rsidRDefault="003E50D4" w:rsidP="00F21575">
      <w:pPr>
        <w:spacing w:line="480" w:lineRule="auto"/>
        <w:rPr>
          <w:rFonts w:eastAsia="Wawati TC Regular" w:cstheme="minorHAnsi"/>
          <w:sz w:val="24"/>
          <w:szCs w:val="24"/>
        </w:rPr>
      </w:pPr>
    </w:p>
    <w:p w14:paraId="30B256E9" w14:textId="77777777" w:rsidR="003E50D4" w:rsidRPr="00BF7205" w:rsidRDefault="003E50D4" w:rsidP="00F21575">
      <w:pPr>
        <w:spacing w:line="480" w:lineRule="auto"/>
        <w:rPr>
          <w:rFonts w:eastAsia="Wawati TC Regular" w:cstheme="minorHAnsi"/>
          <w:sz w:val="10"/>
        </w:rPr>
      </w:pPr>
      <w:r w:rsidRPr="00BF7205">
        <w:rPr>
          <w:rFonts w:eastAsia="Wawati TC Regular" w:cstheme="minorHAnsi"/>
          <w:sz w:val="10"/>
        </w:rPr>
        <w:t xml:space="preserve">          </w:t>
      </w:r>
    </w:p>
    <w:sectPr w:rsidR="003E50D4" w:rsidRPr="00BF7205" w:rsidSect="00C63705">
      <w:pgSz w:w="15840" w:h="12240" w:orient="landscape"/>
      <w:pgMar w:top="288" w:right="1008" w:bottom="720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wati SC Regular">
    <w:altName w:val="Microsoft YaHei"/>
    <w:charset w:val="00"/>
    <w:family w:val="auto"/>
    <w:pitch w:val="variable"/>
    <w:sig w:usb0="00000000" w:usb1="38CF7CFB" w:usb2="00000016" w:usb3="00000000" w:csb0="00040003" w:csb1="00000000"/>
  </w:font>
  <w:font w:name="Wawati TC Regular">
    <w:altName w:val="Times New Roman"/>
    <w:charset w:val="00"/>
    <w:family w:val="auto"/>
    <w:pitch w:val="variable"/>
    <w:sig w:usb0="00000000" w:usb1="5889787B" w:usb2="00000016" w:usb3="00000000" w:csb0="001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6EA8"/>
    <w:multiLevelType w:val="hybridMultilevel"/>
    <w:tmpl w:val="F550863C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224022B2"/>
    <w:multiLevelType w:val="hybridMultilevel"/>
    <w:tmpl w:val="A42A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63D0"/>
    <w:multiLevelType w:val="hybridMultilevel"/>
    <w:tmpl w:val="EBE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0A83"/>
    <w:multiLevelType w:val="hybridMultilevel"/>
    <w:tmpl w:val="A57E7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234BF"/>
    <w:multiLevelType w:val="hybridMultilevel"/>
    <w:tmpl w:val="917CC6A6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" w15:restartNumberingAfterBreak="0">
    <w:nsid w:val="4CC86ABE"/>
    <w:multiLevelType w:val="hybridMultilevel"/>
    <w:tmpl w:val="D0F8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55AA"/>
    <w:multiLevelType w:val="hybridMultilevel"/>
    <w:tmpl w:val="2FF2D73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A413153"/>
    <w:multiLevelType w:val="hybridMultilevel"/>
    <w:tmpl w:val="16983E0E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6AAD31D9"/>
    <w:multiLevelType w:val="hybridMultilevel"/>
    <w:tmpl w:val="27D6C48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6C4C74B3"/>
    <w:multiLevelType w:val="hybridMultilevel"/>
    <w:tmpl w:val="EAC64988"/>
    <w:lvl w:ilvl="0" w:tplc="5E7AF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46E3"/>
    <w:multiLevelType w:val="hybridMultilevel"/>
    <w:tmpl w:val="A766A5F6"/>
    <w:lvl w:ilvl="0" w:tplc="80DA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75"/>
    <w:rsid w:val="00000161"/>
    <w:rsid w:val="0004646B"/>
    <w:rsid w:val="00082C1C"/>
    <w:rsid w:val="000B12E9"/>
    <w:rsid w:val="000C17A1"/>
    <w:rsid w:val="00156991"/>
    <w:rsid w:val="001C23EA"/>
    <w:rsid w:val="00261C21"/>
    <w:rsid w:val="002C0FBC"/>
    <w:rsid w:val="00301EE8"/>
    <w:rsid w:val="003E329F"/>
    <w:rsid w:val="003E50D4"/>
    <w:rsid w:val="004764B4"/>
    <w:rsid w:val="004C5CB1"/>
    <w:rsid w:val="00505EF3"/>
    <w:rsid w:val="0052294E"/>
    <w:rsid w:val="005D365B"/>
    <w:rsid w:val="005E4236"/>
    <w:rsid w:val="0061667C"/>
    <w:rsid w:val="006D4250"/>
    <w:rsid w:val="007D4ACF"/>
    <w:rsid w:val="008173FE"/>
    <w:rsid w:val="00865A23"/>
    <w:rsid w:val="008C4997"/>
    <w:rsid w:val="00924D22"/>
    <w:rsid w:val="0092781A"/>
    <w:rsid w:val="0094586D"/>
    <w:rsid w:val="009716AC"/>
    <w:rsid w:val="009916A6"/>
    <w:rsid w:val="009A4560"/>
    <w:rsid w:val="00A05777"/>
    <w:rsid w:val="00A72D78"/>
    <w:rsid w:val="00B461E9"/>
    <w:rsid w:val="00B66053"/>
    <w:rsid w:val="00BE11EA"/>
    <w:rsid w:val="00BF7205"/>
    <w:rsid w:val="00C13982"/>
    <w:rsid w:val="00C63705"/>
    <w:rsid w:val="00CC36E7"/>
    <w:rsid w:val="00D2398D"/>
    <w:rsid w:val="00D36E8B"/>
    <w:rsid w:val="00E904DE"/>
    <w:rsid w:val="00EA53AA"/>
    <w:rsid w:val="00F16CB2"/>
    <w:rsid w:val="00F21575"/>
    <w:rsid w:val="00F63DB0"/>
    <w:rsid w:val="00F67170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1F622"/>
  <w15:docId w15:val="{5C8BCD77-1DFF-4318-B4E1-B5CD014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2018-05-03T14:13:00Z</cp:lastPrinted>
  <dcterms:created xsi:type="dcterms:W3CDTF">2018-05-31T17:34:00Z</dcterms:created>
  <dcterms:modified xsi:type="dcterms:W3CDTF">2019-02-07T20:44:00Z</dcterms:modified>
</cp:coreProperties>
</file>